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3A" w:rsidRDefault="00C1193A" w:rsidP="00C1193A">
      <w:pPr>
        <w:pStyle w:val="Header"/>
      </w:pPr>
      <w:r w:rsidRPr="002F2A7D">
        <w:rPr>
          <w:rFonts w:ascii="Times New Roman" w:hAnsi="Times New Roman"/>
          <w:sz w:val="20"/>
          <w:szCs w:val="20"/>
        </w:rPr>
        <w:t>Indian Journal of Basic and Applied Medical Research; March 20</w:t>
      </w:r>
      <w:r>
        <w:rPr>
          <w:rFonts w:ascii="Times New Roman" w:hAnsi="Times New Roman"/>
          <w:sz w:val="20"/>
          <w:szCs w:val="20"/>
        </w:rPr>
        <w:t>16: Vol.-5, Issue- 2, P. 855-860</w:t>
      </w:r>
    </w:p>
    <w:p w:rsidR="00C1193A" w:rsidRPr="007D0066" w:rsidRDefault="00C1193A" w:rsidP="00C1193A">
      <w:pPr>
        <w:spacing w:after="0" w:line="360" w:lineRule="auto"/>
        <w:rPr>
          <w:rFonts w:ascii="Cambria" w:hAnsi="Cambria" w:cs="Book Antiqua"/>
          <w:b/>
          <w:bCs/>
          <w:kern w:val="24"/>
          <w:sz w:val="24"/>
          <w:szCs w:val="24"/>
          <w:lang w:val="en-GB"/>
        </w:rPr>
      </w:pPr>
      <w:r w:rsidRPr="007D0066">
        <w:rPr>
          <w:rFonts w:ascii="Cambria" w:hAnsi="Cambria" w:cs="Book Antiqua"/>
          <w:b/>
          <w:bCs/>
          <w:kern w:val="24"/>
          <w:sz w:val="24"/>
          <w:szCs w:val="24"/>
          <w:highlight w:val="lightGray"/>
          <w:lang w:val="en-GB"/>
        </w:rPr>
        <w:t>Original article:</w:t>
      </w:r>
    </w:p>
    <w:p w:rsidR="00C1193A" w:rsidRPr="007D0066" w:rsidRDefault="00C1193A" w:rsidP="00C1193A">
      <w:pPr>
        <w:spacing w:after="0" w:line="360" w:lineRule="auto"/>
        <w:jc w:val="both"/>
        <w:rPr>
          <w:rFonts w:ascii="Cambria" w:hAnsi="Cambria" w:cs="Book Antiqua"/>
          <w:b/>
          <w:bCs/>
          <w:color w:val="1F497D"/>
          <w:kern w:val="24"/>
          <w:sz w:val="28"/>
          <w:szCs w:val="28"/>
          <w:lang w:val="en-GB"/>
        </w:rPr>
      </w:pPr>
      <w:r w:rsidRPr="007D0066">
        <w:rPr>
          <w:rFonts w:ascii="Cambria" w:hAnsi="Cambria" w:cs="Book Antiqua"/>
          <w:b/>
          <w:bCs/>
          <w:color w:val="1F497D"/>
          <w:kern w:val="24"/>
          <w:sz w:val="28"/>
          <w:szCs w:val="28"/>
          <w:lang w:val="en-GB"/>
        </w:rPr>
        <w:t>Effect of haemoglobin concentration on cardiovascular system by heart rate variability modulations</w:t>
      </w:r>
    </w:p>
    <w:p w:rsidR="00C1193A" w:rsidRPr="007D0066" w:rsidRDefault="00C1193A" w:rsidP="00C1193A">
      <w:pPr>
        <w:spacing w:after="0" w:line="360" w:lineRule="auto"/>
        <w:rPr>
          <w:rFonts w:ascii="Cambria" w:hAnsi="Cambria" w:cs="Book Antiqua"/>
          <w:b/>
          <w:bCs/>
          <w:kern w:val="24"/>
          <w:lang w:val="en-GB"/>
        </w:rPr>
      </w:pPr>
      <w:proofErr w:type="spellStart"/>
      <w:r w:rsidRPr="007D0066">
        <w:rPr>
          <w:rFonts w:ascii="Cambria" w:hAnsi="Cambria"/>
          <w:b/>
        </w:rPr>
        <w:t>Gehlot</w:t>
      </w:r>
      <w:proofErr w:type="spellEnd"/>
      <w:r w:rsidRPr="007D0066">
        <w:rPr>
          <w:rFonts w:ascii="Cambria" w:hAnsi="Cambria"/>
          <w:b/>
        </w:rPr>
        <w:t xml:space="preserve"> Pinkesh</w:t>
      </w:r>
      <w:r w:rsidRPr="007D0066">
        <w:rPr>
          <w:rFonts w:ascii="Cambria" w:hAnsi="Cambria"/>
          <w:b/>
          <w:vertAlign w:val="superscript"/>
        </w:rPr>
        <w:t>1</w:t>
      </w:r>
      <w:r w:rsidRPr="007D0066">
        <w:rPr>
          <w:rFonts w:ascii="Cambria" w:hAnsi="Cambria"/>
          <w:b/>
        </w:rPr>
        <w:t xml:space="preserve">, </w:t>
      </w:r>
      <w:proofErr w:type="spellStart"/>
      <w:r w:rsidRPr="007D0066">
        <w:rPr>
          <w:rFonts w:ascii="Cambria" w:hAnsi="Cambria"/>
          <w:b/>
        </w:rPr>
        <w:t>Tonpay</w:t>
      </w:r>
      <w:proofErr w:type="spellEnd"/>
      <w:r w:rsidRPr="007D0066">
        <w:rPr>
          <w:rFonts w:ascii="Cambria" w:hAnsi="Cambria"/>
          <w:b/>
        </w:rPr>
        <w:t xml:space="preserve"> P.S.</w:t>
      </w:r>
      <w:r w:rsidRPr="007D0066">
        <w:rPr>
          <w:rFonts w:ascii="Cambria" w:hAnsi="Cambria"/>
          <w:b/>
          <w:vertAlign w:val="superscript"/>
        </w:rPr>
        <w:t>2</w:t>
      </w:r>
      <w:r w:rsidRPr="007D0066">
        <w:rPr>
          <w:rFonts w:ascii="Cambria" w:hAnsi="Cambria"/>
          <w:b/>
        </w:rPr>
        <w:t xml:space="preserve">, </w:t>
      </w:r>
      <w:proofErr w:type="spellStart"/>
      <w:r w:rsidRPr="007D0066">
        <w:rPr>
          <w:rFonts w:ascii="Cambria" w:hAnsi="Cambria"/>
          <w:b/>
        </w:rPr>
        <w:t>Siddiqui</w:t>
      </w:r>
      <w:proofErr w:type="spellEnd"/>
      <w:r w:rsidRPr="007D0066">
        <w:rPr>
          <w:rFonts w:ascii="Cambria" w:hAnsi="Cambria"/>
          <w:b/>
        </w:rPr>
        <w:t xml:space="preserve"> N.I.</w:t>
      </w:r>
      <w:r w:rsidRPr="007D0066">
        <w:rPr>
          <w:rFonts w:ascii="Cambria" w:hAnsi="Cambria"/>
          <w:b/>
          <w:vertAlign w:val="superscript"/>
        </w:rPr>
        <w:t xml:space="preserve"> 3</w:t>
      </w:r>
    </w:p>
    <w:p w:rsidR="00C1193A" w:rsidRDefault="00C1193A" w:rsidP="00C1193A">
      <w:pPr>
        <w:spacing w:after="0" w:line="360" w:lineRule="auto"/>
        <w:rPr>
          <w:rFonts w:ascii="Cambria" w:hAnsi="Cambria"/>
          <w:sz w:val="20"/>
          <w:szCs w:val="20"/>
          <w:vertAlign w:val="superscript"/>
        </w:rPr>
      </w:pPr>
    </w:p>
    <w:p w:rsidR="00C1193A" w:rsidRPr="007D0066" w:rsidRDefault="00C1193A" w:rsidP="00C1193A">
      <w:pPr>
        <w:spacing w:after="0" w:line="360" w:lineRule="auto"/>
        <w:rPr>
          <w:rFonts w:ascii="Cambria" w:hAnsi="Cambria"/>
          <w:sz w:val="18"/>
          <w:szCs w:val="18"/>
        </w:rPr>
      </w:pPr>
      <w:r w:rsidRPr="007D0066">
        <w:rPr>
          <w:rFonts w:ascii="Cambria" w:hAnsi="Cambria"/>
          <w:sz w:val="18"/>
          <w:szCs w:val="18"/>
          <w:vertAlign w:val="superscript"/>
        </w:rPr>
        <w:t>1</w:t>
      </w:r>
      <w:r w:rsidRPr="007D0066">
        <w:rPr>
          <w:rFonts w:ascii="Cambria" w:hAnsi="Cambria"/>
          <w:sz w:val="18"/>
          <w:szCs w:val="18"/>
        </w:rPr>
        <w:t xml:space="preserve">MD </w:t>
      </w:r>
      <w:proofErr w:type="spellStart"/>
      <w:r w:rsidRPr="007D0066">
        <w:rPr>
          <w:rFonts w:ascii="Cambria" w:hAnsi="Cambria"/>
          <w:sz w:val="18"/>
          <w:szCs w:val="18"/>
        </w:rPr>
        <w:t>III</w:t>
      </w:r>
      <w:r w:rsidRPr="007D0066">
        <w:rPr>
          <w:rFonts w:ascii="Cambria" w:hAnsi="Cambria"/>
          <w:sz w:val="18"/>
          <w:szCs w:val="18"/>
          <w:vertAlign w:val="superscript"/>
        </w:rPr>
        <w:t>rd</w:t>
      </w:r>
      <w:proofErr w:type="spellEnd"/>
      <w:r w:rsidRPr="007D0066">
        <w:rPr>
          <w:rFonts w:ascii="Cambria" w:hAnsi="Cambria"/>
          <w:sz w:val="18"/>
          <w:szCs w:val="18"/>
        </w:rPr>
        <w:t xml:space="preserve"> year</w:t>
      </w:r>
      <w:proofErr w:type="gramStart"/>
      <w:r w:rsidRPr="007D0066">
        <w:rPr>
          <w:rFonts w:ascii="Cambria" w:hAnsi="Cambria"/>
          <w:sz w:val="18"/>
          <w:szCs w:val="18"/>
        </w:rPr>
        <w:t>,</w:t>
      </w:r>
      <w:r w:rsidRPr="007D0066">
        <w:rPr>
          <w:rFonts w:ascii="Cambria" w:hAnsi="Cambria"/>
          <w:sz w:val="18"/>
          <w:szCs w:val="18"/>
          <w:vertAlign w:val="superscript"/>
        </w:rPr>
        <w:t>2</w:t>
      </w:r>
      <w:proofErr w:type="gramEnd"/>
      <w:r w:rsidRPr="007D0066">
        <w:rPr>
          <w:rFonts w:ascii="Cambria" w:hAnsi="Cambria"/>
          <w:sz w:val="18"/>
          <w:szCs w:val="18"/>
          <w:vertAlign w:val="superscript"/>
        </w:rPr>
        <w:t xml:space="preserve"> </w:t>
      </w:r>
      <w:r w:rsidRPr="007D0066">
        <w:rPr>
          <w:rFonts w:ascii="Cambria" w:hAnsi="Cambria"/>
          <w:sz w:val="18"/>
          <w:szCs w:val="18"/>
        </w:rPr>
        <w:t>Professor &amp;</w:t>
      </w:r>
      <w:r w:rsidRPr="007D0066">
        <w:rPr>
          <w:rFonts w:ascii="Cambria" w:hAnsi="Cambria"/>
          <w:sz w:val="18"/>
          <w:szCs w:val="18"/>
          <w:vertAlign w:val="superscript"/>
        </w:rPr>
        <w:t xml:space="preserve"> </w:t>
      </w:r>
      <w:r w:rsidRPr="007D0066">
        <w:rPr>
          <w:rFonts w:ascii="Cambria" w:hAnsi="Cambria"/>
          <w:sz w:val="18"/>
          <w:szCs w:val="18"/>
        </w:rPr>
        <w:t xml:space="preserve">Head of Department, </w:t>
      </w:r>
      <w:r w:rsidRPr="007D0066">
        <w:rPr>
          <w:rFonts w:ascii="Cambria" w:hAnsi="Cambria"/>
          <w:sz w:val="18"/>
          <w:szCs w:val="18"/>
          <w:vertAlign w:val="superscript"/>
        </w:rPr>
        <w:t>3</w:t>
      </w:r>
      <w:r w:rsidRPr="007D0066">
        <w:rPr>
          <w:rFonts w:ascii="Cambria" w:hAnsi="Cambria"/>
          <w:sz w:val="18"/>
          <w:szCs w:val="18"/>
        </w:rPr>
        <w:t xml:space="preserve">Professor </w:t>
      </w:r>
    </w:p>
    <w:p w:rsidR="00C1193A" w:rsidRPr="007D0066" w:rsidRDefault="00C1193A" w:rsidP="00C1193A">
      <w:pPr>
        <w:spacing w:after="0" w:line="360" w:lineRule="auto"/>
        <w:rPr>
          <w:rFonts w:ascii="Cambria" w:hAnsi="Cambria"/>
          <w:sz w:val="18"/>
          <w:szCs w:val="18"/>
        </w:rPr>
      </w:pPr>
      <w:r w:rsidRPr="007D0066">
        <w:rPr>
          <w:rFonts w:ascii="Cambria" w:hAnsi="Cambria"/>
          <w:sz w:val="18"/>
          <w:szCs w:val="18"/>
        </w:rPr>
        <w:t xml:space="preserve">Department of Physiology, Sri </w:t>
      </w:r>
      <w:proofErr w:type="spellStart"/>
      <w:r w:rsidRPr="007D0066">
        <w:rPr>
          <w:rFonts w:ascii="Cambria" w:hAnsi="Cambria"/>
          <w:sz w:val="18"/>
          <w:szCs w:val="18"/>
        </w:rPr>
        <w:t>Aurobindo</w:t>
      </w:r>
      <w:proofErr w:type="spellEnd"/>
      <w:r w:rsidRPr="007D0066">
        <w:rPr>
          <w:rFonts w:ascii="Cambria" w:hAnsi="Cambria"/>
          <w:sz w:val="18"/>
          <w:szCs w:val="18"/>
        </w:rPr>
        <w:t xml:space="preserve"> Medical College &amp; P.G. Institute, Indore</w:t>
      </w:r>
    </w:p>
    <w:p w:rsidR="00C1193A" w:rsidRPr="007D0066" w:rsidRDefault="00C1193A" w:rsidP="00C1193A">
      <w:pPr>
        <w:pBdr>
          <w:bottom w:val="single" w:sz="6" w:space="1" w:color="auto"/>
        </w:pBdr>
        <w:spacing w:after="0" w:line="360" w:lineRule="auto"/>
        <w:rPr>
          <w:rFonts w:ascii="Cambria" w:hAnsi="Cambria"/>
          <w:sz w:val="18"/>
          <w:szCs w:val="18"/>
        </w:rPr>
      </w:pPr>
      <w:r w:rsidRPr="007D0066">
        <w:rPr>
          <w:rFonts w:ascii="Cambria" w:hAnsi="Cambria"/>
          <w:sz w:val="18"/>
          <w:szCs w:val="18"/>
        </w:rPr>
        <w:t xml:space="preserve">Corresponding author: </w:t>
      </w:r>
      <w:proofErr w:type="gramStart"/>
      <w:r w:rsidRPr="007D0066">
        <w:rPr>
          <w:rFonts w:ascii="Cambria" w:hAnsi="Cambria"/>
          <w:sz w:val="18"/>
          <w:szCs w:val="18"/>
        </w:rPr>
        <w:t xml:space="preserve">Dr  </w:t>
      </w:r>
      <w:proofErr w:type="spellStart"/>
      <w:r w:rsidRPr="007D0066">
        <w:rPr>
          <w:rFonts w:ascii="Cambria" w:hAnsi="Cambria"/>
          <w:sz w:val="18"/>
          <w:szCs w:val="18"/>
        </w:rPr>
        <w:t>Gehlot</w:t>
      </w:r>
      <w:proofErr w:type="spellEnd"/>
      <w:proofErr w:type="gramEnd"/>
      <w:r w:rsidRPr="007D0066">
        <w:rPr>
          <w:rFonts w:ascii="Cambria" w:hAnsi="Cambria"/>
          <w:sz w:val="18"/>
          <w:szCs w:val="18"/>
        </w:rPr>
        <w:t xml:space="preserve"> </w:t>
      </w:r>
      <w:proofErr w:type="spellStart"/>
      <w:r w:rsidRPr="007D0066">
        <w:rPr>
          <w:rFonts w:ascii="Cambria" w:hAnsi="Cambria"/>
          <w:sz w:val="18"/>
          <w:szCs w:val="18"/>
        </w:rPr>
        <w:t>Pinkesh</w:t>
      </w:r>
      <w:proofErr w:type="spellEnd"/>
    </w:p>
    <w:p w:rsidR="00C1193A" w:rsidRPr="007D0066" w:rsidRDefault="00C1193A" w:rsidP="00C1193A">
      <w:pPr>
        <w:spacing w:after="0" w:line="360" w:lineRule="auto"/>
        <w:rPr>
          <w:rFonts w:ascii="Cambria" w:hAnsi="Cambria"/>
          <w:sz w:val="20"/>
          <w:szCs w:val="20"/>
        </w:rPr>
      </w:pPr>
    </w:p>
    <w:p w:rsidR="00C1193A" w:rsidRPr="007D0066" w:rsidRDefault="00C1193A" w:rsidP="00C1193A">
      <w:pPr>
        <w:pStyle w:val="Heading1"/>
        <w:spacing w:line="360" w:lineRule="auto"/>
        <w:ind w:left="0" w:firstLine="0"/>
        <w:rPr>
          <w:rFonts w:ascii="Cambria" w:hAnsi="Cambria" w:cs="Franklin Gothic Medium"/>
          <w:b/>
          <w:bCs/>
          <w:color w:val="auto"/>
          <w:sz w:val="20"/>
          <w:szCs w:val="20"/>
        </w:rPr>
      </w:pPr>
      <w:r w:rsidRPr="007D0066">
        <w:rPr>
          <w:rFonts w:ascii="Cambria" w:hAnsi="Cambria" w:cs="Franklin Gothic Medium"/>
          <w:b/>
          <w:bCs/>
          <w:color w:val="auto"/>
          <w:sz w:val="20"/>
          <w:szCs w:val="20"/>
        </w:rPr>
        <w:t xml:space="preserve">Abstract: </w:t>
      </w:r>
    </w:p>
    <w:p w:rsidR="00C1193A" w:rsidRPr="007D0066" w:rsidRDefault="00C1193A" w:rsidP="00C1193A">
      <w:pPr>
        <w:spacing w:after="0" w:line="360" w:lineRule="auto"/>
        <w:jc w:val="both"/>
        <w:rPr>
          <w:rFonts w:ascii="Cambria" w:hAnsi="Cambria"/>
          <w:color w:val="000000"/>
          <w:sz w:val="18"/>
          <w:szCs w:val="18"/>
          <w:lang w:val="en-GB"/>
        </w:rPr>
      </w:pPr>
      <w:r w:rsidRPr="007D0066">
        <w:rPr>
          <w:rFonts w:ascii="Cambria" w:hAnsi="Cambria"/>
          <w:b/>
          <w:color w:val="000000"/>
          <w:sz w:val="18"/>
          <w:szCs w:val="18"/>
          <w:lang w:val="en-GB"/>
        </w:rPr>
        <w:t>Introduction</w:t>
      </w:r>
      <w:r w:rsidRPr="007D0066">
        <w:rPr>
          <w:rFonts w:ascii="Cambria" w:hAnsi="Cambria"/>
          <w:color w:val="000000"/>
          <w:sz w:val="18"/>
          <w:szCs w:val="18"/>
          <w:lang w:val="en-GB"/>
        </w:rPr>
        <w:t>:</w:t>
      </w:r>
      <w:r w:rsidRPr="007D0066">
        <w:rPr>
          <w:rFonts w:ascii="Cambria" w:hAnsi="Cambria" w:cs="Franklin Gothic Medium"/>
          <w:bCs/>
          <w:sz w:val="18"/>
          <w:szCs w:val="18"/>
          <w:lang w:val="en-GB"/>
        </w:rPr>
        <w:t xml:space="preserve"> Decreased Heart rate variability (HRV) is associated with increased cardiac risk in several conditions. Previous studies show decreased heart rate variability among subject with low haemoglobin concentration. However the underlying pathology of anaemia may be the direct cause of low HRV which may preclude from drawing the conclusion that anaemia per se </w:t>
      </w:r>
      <w:proofErr w:type="gramStart"/>
      <w:r w:rsidRPr="007D0066">
        <w:rPr>
          <w:rFonts w:ascii="Cambria" w:hAnsi="Cambria" w:cs="Franklin Gothic Medium"/>
          <w:bCs/>
          <w:sz w:val="18"/>
          <w:szCs w:val="18"/>
          <w:lang w:val="en-GB"/>
        </w:rPr>
        <w:t>cause</w:t>
      </w:r>
      <w:proofErr w:type="gramEnd"/>
      <w:r w:rsidRPr="007D0066">
        <w:rPr>
          <w:rFonts w:ascii="Cambria" w:hAnsi="Cambria" w:cs="Franklin Gothic Medium"/>
          <w:bCs/>
          <w:sz w:val="18"/>
          <w:szCs w:val="18"/>
          <w:lang w:val="en-GB"/>
        </w:rPr>
        <w:t xml:space="preserve"> decreased HRV.</w:t>
      </w:r>
    </w:p>
    <w:p w:rsidR="00C1193A" w:rsidRPr="007D0066" w:rsidRDefault="00C1193A" w:rsidP="00C1193A">
      <w:pPr>
        <w:spacing w:after="0" w:line="360" w:lineRule="auto"/>
        <w:jc w:val="both"/>
        <w:rPr>
          <w:rFonts w:ascii="Cambria" w:hAnsi="Cambria" w:cs="Franklin Gothic Medium"/>
          <w:bCs/>
          <w:sz w:val="18"/>
          <w:szCs w:val="18"/>
          <w:lang w:val="en-GB"/>
        </w:rPr>
      </w:pPr>
      <w:r w:rsidRPr="007D0066">
        <w:rPr>
          <w:rFonts w:ascii="Cambria" w:hAnsi="Cambria"/>
          <w:b/>
          <w:color w:val="000000"/>
          <w:sz w:val="18"/>
          <w:szCs w:val="18"/>
          <w:lang w:val="en-GB"/>
        </w:rPr>
        <w:t>Aims</w:t>
      </w:r>
      <w:r w:rsidRPr="007D0066">
        <w:rPr>
          <w:rFonts w:ascii="Cambria" w:hAnsi="Cambria"/>
          <w:color w:val="000000"/>
          <w:sz w:val="18"/>
          <w:szCs w:val="18"/>
          <w:lang w:val="en-GB"/>
        </w:rPr>
        <w:t>:</w:t>
      </w:r>
      <w:r w:rsidRPr="007D0066">
        <w:rPr>
          <w:rFonts w:ascii="Cambria" w:hAnsi="Cambria" w:cs="Franklin Gothic Medium"/>
          <w:bCs/>
          <w:sz w:val="18"/>
          <w:szCs w:val="18"/>
          <w:lang w:val="en-GB"/>
        </w:rPr>
        <w:t xml:space="preserve"> - To study the relationship between HRV and haemoglobin concentration on cardiac autonomic modulation in HRV.</w:t>
      </w:r>
    </w:p>
    <w:p w:rsidR="00C1193A" w:rsidRPr="007D0066" w:rsidRDefault="00C1193A" w:rsidP="00C1193A">
      <w:pPr>
        <w:spacing w:after="0" w:line="360" w:lineRule="auto"/>
        <w:jc w:val="both"/>
        <w:rPr>
          <w:rFonts w:ascii="Cambria" w:hAnsi="Cambria"/>
          <w:color w:val="000000"/>
          <w:sz w:val="18"/>
          <w:szCs w:val="18"/>
          <w:lang w:val="en-GB"/>
        </w:rPr>
      </w:pPr>
      <w:r w:rsidRPr="007D0066">
        <w:rPr>
          <w:rFonts w:ascii="Cambria" w:hAnsi="Cambria"/>
          <w:b/>
          <w:color w:val="000000"/>
          <w:sz w:val="18"/>
          <w:szCs w:val="18"/>
          <w:lang w:val="en-GB"/>
        </w:rPr>
        <w:t>Settings and Design</w:t>
      </w:r>
      <w:r w:rsidRPr="007D0066">
        <w:rPr>
          <w:rFonts w:ascii="Cambria" w:hAnsi="Cambria"/>
          <w:color w:val="000000"/>
          <w:sz w:val="18"/>
          <w:szCs w:val="18"/>
          <w:lang w:val="en-GB"/>
        </w:rPr>
        <w:t>:</w:t>
      </w:r>
      <w:r w:rsidRPr="007D0066">
        <w:rPr>
          <w:rFonts w:ascii="Cambria" w:hAnsi="Cambria" w:cs="Franklin Gothic Medium"/>
          <w:bCs/>
          <w:sz w:val="18"/>
          <w:szCs w:val="18"/>
          <w:lang w:val="en-GB"/>
        </w:rPr>
        <w:t xml:space="preserve"> The study includes 50 apparently healthy paramedical students of age 18 to 25. They were divided into two groups I (</w:t>
      </w:r>
      <w:proofErr w:type="spellStart"/>
      <w:r w:rsidRPr="007D0066">
        <w:rPr>
          <w:rFonts w:ascii="Cambria" w:hAnsi="Cambria" w:cs="Franklin Gothic Medium"/>
          <w:bCs/>
          <w:sz w:val="18"/>
          <w:szCs w:val="18"/>
          <w:lang w:val="en-GB"/>
        </w:rPr>
        <w:t>Hb</w:t>
      </w:r>
      <w:proofErr w:type="spellEnd"/>
      <w:r w:rsidRPr="007D0066">
        <w:rPr>
          <w:rFonts w:ascii="Cambria" w:hAnsi="Cambria" w:cs="Franklin Gothic Medium"/>
          <w:bCs/>
          <w:sz w:val="18"/>
          <w:szCs w:val="18"/>
          <w:lang w:val="en-GB"/>
        </w:rPr>
        <w:t>&gt;12gm %) and II (</w:t>
      </w:r>
      <w:proofErr w:type="spellStart"/>
      <w:r w:rsidRPr="007D0066">
        <w:rPr>
          <w:rFonts w:ascii="Cambria" w:hAnsi="Cambria" w:cs="Franklin Gothic Medium"/>
          <w:bCs/>
          <w:sz w:val="18"/>
          <w:szCs w:val="18"/>
          <w:lang w:val="en-GB"/>
        </w:rPr>
        <w:t>Hb</w:t>
      </w:r>
      <w:proofErr w:type="spellEnd"/>
      <w:r w:rsidRPr="007D0066">
        <w:rPr>
          <w:rFonts w:ascii="Cambria" w:hAnsi="Cambria" w:cs="Franklin Gothic Medium"/>
          <w:bCs/>
          <w:sz w:val="18"/>
          <w:szCs w:val="18"/>
          <w:lang w:val="en-GB"/>
        </w:rPr>
        <w:t>&lt;12gm %</w:t>
      </w:r>
      <w:proofErr w:type="gramStart"/>
      <w:r w:rsidRPr="007D0066">
        <w:rPr>
          <w:rFonts w:ascii="Cambria" w:hAnsi="Cambria" w:cs="Franklin Gothic Medium"/>
          <w:bCs/>
          <w:sz w:val="18"/>
          <w:szCs w:val="18"/>
          <w:lang w:val="en-GB"/>
        </w:rPr>
        <w:t>).</w:t>
      </w:r>
      <w:proofErr w:type="gramEnd"/>
      <w:r w:rsidRPr="007D0066">
        <w:rPr>
          <w:rFonts w:ascii="Cambria" w:hAnsi="Cambria" w:cs="Franklin Gothic Medium"/>
          <w:bCs/>
          <w:sz w:val="18"/>
          <w:szCs w:val="18"/>
          <w:lang w:val="en-GB"/>
        </w:rPr>
        <w:t>It was a case control study.</w:t>
      </w:r>
    </w:p>
    <w:p w:rsidR="00C1193A" w:rsidRPr="007D0066" w:rsidRDefault="00C1193A" w:rsidP="00C1193A">
      <w:pPr>
        <w:spacing w:after="0" w:line="360" w:lineRule="auto"/>
        <w:jc w:val="both"/>
        <w:rPr>
          <w:rFonts w:ascii="Cambria" w:hAnsi="Cambria"/>
          <w:color w:val="000000"/>
          <w:sz w:val="18"/>
          <w:szCs w:val="18"/>
          <w:lang w:val="en-GB"/>
        </w:rPr>
      </w:pPr>
      <w:r w:rsidRPr="007D0066">
        <w:rPr>
          <w:rFonts w:ascii="Cambria" w:hAnsi="Cambria"/>
          <w:b/>
          <w:color w:val="000000"/>
          <w:sz w:val="18"/>
          <w:szCs w:val="18"/>
          <w:lang w:val="en-GB"/>
        </w:rPr>
        <w:t>Methods and Material:</w:t>
      </w:r>
      <w:r w:rsidRPr="007D0066">
        <w:rPr>
          <w:rFonts w:ascii="Cambria" w:hAnsi="Cambria" w:cs="Franklin Gothic Medium"/>
          <w:bCs/>
          <w:sz w:val="18"/>
          <w:szCs w:val="18"/>
          <w:lang w:val="en-GB"/>
        </w:rPr>
        <w:t xml:space="preserve"> Haemoglobin estimation: Colorimetric method was used for estimation of Haemoglobin. HRV Analysis: RMS </w:t>
      </w:r>
      <w:proofErr w:type="spellStart"/>
      <w:r w:rsidRPr="007D0066">
        <w:rPr>
          <w:rFonts w:ascii="Cambria" w:hAnsi="Cambria" w:cs="Franklin Gothic Medium"/>
          <w:bCs/>
          <w:sz w:val="18"/>
          <w:szCs w:val="18"/>
          <w:lang w:val="en-GB"/>
        </w:rPr>
        <w:t>Polyrite</w:t>
      </w:r>
      <w:proofErr w:type="spellEnd"/>
      <w:r w:rsidRPr="007D0066">
        <w:rPr>
          <w:rFonts w:ascii="Cambria" w:hAnsi="Cambria" w:cs="Franklin Gothic Medium"/>
          <w:bCs/>
          <w:sz w:val="18"/>
          <w:szCs w:val="18"/>
          <w:lang w:val="en-GB"/>
        </w:rPr>
        <w:t xml:space="preserve"> D polygraph version 3.0.11 was used for HRV recording and analysis.</w:t>
      </w:r>
    </w:p>
    <w:p w:rsidR="00C1193A" w:rsidRPr="007D0066" w:rsidRDefault="00C1193A" w:rsidP="00C1193A">
      <w:pPr>
        <w:spacing w:after="0" w:line="360" w:lineRule="auto"/>
        <w:jc w:val="both"/>
        <w:rPr>
          <w:rFonts w:ascii="Cambria" w:hAnsi="Cambria"/>
          <w:color w:val="000000"/>
          <w:sz w:val="18"/>
          <w:szCs w:val="18"/>
          <w:lang w:val="en-GB"/>
        </w:rPr>
      </w:pPr>
      <w:r w:rsidRPr="007D0066">
        <w:rPr>
          <w:rFonts w:ascii="Cambria" w:hAnsi="Cambria"/>
          <w:b/>
          <w:color w:val="000000"/>
          <w:sz w:val="18"/>
          <w:szCs w:val="18"/>
          <w:lang w:val="en-GB"/>
        </w:rPr>
        <w:t>Statistical analysis used</w:t>
      </w:r>
      <w:r w:rsidRPr="007D0066">
        <w:rPr>
          <w:rFonts w:ascii="Cambria" w:hAnsi="Cambria"/>
          <w:color w:val="000000"/>
          <w:sz w:val="18"/>
          <w:szCs w:val="18"/>
          <w:lang w:val="en-GB"/>
        </w:rPr>
        <w:t>:</w:t>
      </w:r>
      <w:r w:rsidRPr="007D0066">
        <w:rPr>
          <w:rFonts w:ascii="Cambria" w:hAnsi="Cambria"/>
          <w:sz w:val="18"/>
          <w:szCs w:val="18"/>
          <w:lang w:val="en-GB"/>
        </w:rPr>
        <w:t xml:space="preserve"> Results were expressed as means </w:t>
      </w:r>
      <w:r w:rsidRPr="007D0066">
        <w:rPr>
          <w:rFonts w:ascii="Cambria" w:hAnsi="Cambria"/>
          <w:sz w:val="18"/>
          <w:szCs w:val="18"/>
          <w:u w:val="single"/>
          <w:lang w:val="en-GB"/>
        </w:rPr>
        <w:t>+</w:t>
      </w:r>
      <w:r w:rsidRPr="007D0066">
        <w:rPr>
          <w:rFonts w:ascii="Cambria" w:hAnsi="Cambria"/>
          <w:sz w:val="18"/>
          <w:szCs w:val="18"/>
          <w:lang w:val="en-GB"/>
        </w:rPr>
        <w:t xml:space="preserve"> S.D. using an SPSS package version 10.0.</w:t>
      </w:r>
    </w:p>
    <w:p w:rsidR="00C1193A" w:rsidRPr="007D0066" w:rsidRDefault="00C1193A" w:rsidP="00C1193A">
      <w:pPr>
        <w:spacing w:after="0" w:line="360" w:lineRule="auto"/>
        <w:jc w:val="both"/>
        <w:rPr>
          <w:rFonts w:ascii="Cambria" w:hAnsi="Cambria"/>
          <w:color w:val="000000"/>
          <w:sz w:val="18"/>
          <w:szCs w:val="18"/>
          <w:lang w:val="en-GB"/>
        </w:rPr>
      </w:pPr>
      <w:r w:rsidRPr="007D0066">
        <w:rPr>
          <w:rFonts w:ascii="Cambria" w:hAnsi="Cambria"/>
          <w:b/>
          <w:color w:val="000000"/>
          <w:sz w:val="18"/>
          <w:szCs w:val="18"/>
          <w:lang w:val="en-GB"/>
        </w:rPr>
        <w:t>Results:</w:t>
      </w:r>
      <w:r w:rsidRPr="007D0066">
        <w:rPr>
          <w:rFonts w:ascii="Cambria" w:hAnsi="Cambria" w:cs="Franklin Gothic Medium"/>
          <w:bCs/>
          <w:sz w:val="18"/>
          <w:szCs w:val="18"/>
          <w:lang w:val="en-GB"/>
        </w:rPr>
        <w:t xml:space="preserve"> The mean haemoglobin concentration of group I (mean </w:t>
      </w:r>
      <w:r w:rsidRPr="007D0066">
        <w:rPr>
          <w:rFonts w:ascii="Cambria" w:hAnsi="Cambria" w:cs="Franklin Gothic Medium"/>
          <w:bCs/>
          <w:sz w:val="18"/>
          <w:szCs w:val="18"/>
          <w:u w:val="single"/>
          <w:lang w:val="en-GB"/>
        </w:rPr>
        <w:t>+</w:t>
      </w:r>
      <w:r w:rsidRPr="007D0066">
        <w:rPr>
          <w:rFonts w:ascii="Cambria" w:hAnsi="Cambria" w:cs="Franklin Gothic Medium"/>
          <w:bCs/>
          <w:sz w:val="18"/>
          <w:szCs w:val="18"/>
          <w:lang w:val="en-GB"/>
        </w:rPr>
        <w:t>SD= 14.03</w:t>
      </w:r>
      <w:r w:rsidRPr="007D0066">
        <w:rPr>
          <w:rFonts w:ascii="Cambria" w:hAnsi="Cambria" w:cs="Franklin Gothic Medium"/>
          <w:bCs/>
          <w:sz w:val="18"/>
          <w:szCs w:val="18"/>
          <w:u w:val="single"/>
          <w:lang w:val="en-GB"/>
        </w:rPr>
        <w:t>+</w:t>
      </w:r>
      <w:r w:rsidRPr="007D0066">
        <w:rPr>
          <w:rFonts w:ascii="Cambria" w:hAnsi="Cambria" w:cs="Franklin Gothic Medium"/>
          <w:bCs/>
          <w:sz w:val="18"/>
          <w:szCs w:val="18"/>
          <w:lang w:val="en-GB"/>
        </w:rPr>
        <w:t>1.69) was significantly higher compared with mean haemoglobin of group II M</w:t>
      </w:r>
      <w:r w:rsidRPr="007D0066">
        <w:rPr>
          <w:rFonts w:ascii="Cambria" w:hAnsi="Cambria" w:cs="Franklin Gothic Medium"/>
          <w:bCs/>
          <w:sz w:val="18"/>
          <w:szCs w:val="18"/>
          <w:u w:val="single"/>
          <w:lang w:val="en-GB"/>
        </w:rPr>
        <w:t>+</w:t>
      </w:r>
      <w:r w:rsidRPr="007D0066">
        <w:rPr>
          <w:rFonts w:ascii="Cambria" w:hAnsi="Cambria" w:cs="Franklin Gothic Medium"/>
          <w:bCs/>
          <w:sz w:val="18"/>
          <w:szCs w:val="18"/>
          <w:lang w:val="en-GB"/>
        </w:rPr>
        <w:t>SD=10.28</w:t>
      </w:r>
      <w:r w:rsidRPr="007D0066">
        <w:rPr>
          <w:rFonts w:ascii="Cambria" w:hAnsi="Cambria" w:cs="Franklin Gothic Medium"/>
          <w:bCs/>
          <w:sz w:val="18"/>
          <w:szCs w:val="18"/>
          <w:u w:val="single"/>
          <w:lang w:val="en-GB"/>
        </w:rPr>
        <w:t>+</w:t>
      </w:r>
      <w:r w:rsidRPr="007D0066">
        <w:rPr>
          <w:rFonts w:ascii="Cambria" w:hAnsi="Cambria" w:cs="Franklin Gothic Medium"/>
          <w:bCs/>
          <w:sz w:val="18"/>
          <w:szCs w:val="18"/>
          <w:lang w:val="en-GB"/>
        </w:rPr>
        <w:t>1.12). There is no statistically significant relation found between haemoglobin concentration and HRV in mild to moderate anaemia. (For all HRV parameters P value &gt; .05).</w:t>
      </w:r>
    </w:p>
    <w:p w:rsidR="00C1193A" w:rsidRPr="007D0066" w:rsidRDefault="00C1193A" w:rsidP="00C1193A">
      <w:pPr>
        <w:pBdr>
          <w:bottom w:val="single" w:sz="6" w:space="1" w:color="auto"/>
        </w:pBdr>
        <w:spacing w:after="0" w:line="360" w:lineRule="auto"/>
        <w:outlineLvl w:val="0"/>
        <w:rPr>
          <w:rFonts w:ascii="Cambria" w:hAnsi="Cambria" w:cs="Franklin Gothic Medium"/>
          <w:bCs/>
          <w:sz w:val="18"/>
          <w:szCs w:val="18"/>
          <w:lang w:val="en-GB"/>
        </w:rPr>
      </w:pPr>
      <w:r w:rsidRPr="007D0066">
        <w:rPr>
          <w:rFonts w:ascii="Cambria" w:hAnsi="Cambria"/>
          <w:b/>
          <w:color w:val="000000"/>
          <w:sz w:val="18"/>
          <w:szCs w:val="18"/>
          <w:lang w:val="en-GB"/>
        </w:rPr>
        <w:t>Key-words:</w:t>
      </w:r>
      <w:r w:rsidRPr="007D0066">
        <w:rPr>
          <w:rFonts w:ascii="Cambria" w:hAnsi="Cambria" w:cs="Franklin Gothic Medium"/>
          <w:bCs/>
          <w:sz w:val="18"/>
          <w:szCs w:val="18"/>
          <w:lang w:val="en-GB"/>
        </w:rPr>
        <w:t xml:space="preserve"> Anaemia, Autonomic nervous system, Heart rate variability, Haemoglobin</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93A"/>
    <w:rsid w:val="000061B3"/>
    <w:rsid w:val="0006104F"/>
    <w:rsid w:val="001170B6"/>
    <w:rsid w:val="00274F00"/>
    <w:rsid w:val="004B274B"/>
    <w:rsid w:val="009E591E"/>
    <w:rsid w:val="00A83F59"/>
    <w:rsid w:val="00AE3137"/>
    <w:rsid w:val="00B5444E"/>
    <w:rsid w:val="00B624C6"/>
    <w:rsid w:val="00C11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3A"/>
    <w:rPr>
      <w:rFonts w:ascii="Calibri" w:eastAsia="Times New Roman" w:hAnsi="Calibri" w:cs="Times New Roman"/>
    </w:rPr>
  </w:style>
  <w:style w:type="paragraph" w:styleId="Heading1">
    <w:name w:val="heading 1"/>
    <w:basedOn w:val="Normal"/>
    <w:next w:val="Normal"/>
    <w:link w:val="Heading1Char"/>
    <w:uiPriority w:val="9"/>
    <w:qFormat/>
    <w:rsid w:val="00C1193A"/>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93A"/>
    <w:rPr>
      <w:rFonts w:ascii="Times New Roman" w:eastAsia="Times New Roman" w:hAnsi="Times New Roman" w:cs="Times New Roman"/>
      <w:color w:val="000000"/>
      <w:kern w:val="24"/>
      <w:sz w:val="64"/>
      <w:szCs w:val="64"/>
    </w:rPr>
  </w:style>
  <w:style w:type="paragraph" w:styleId="Header">
    <w:name w:val="header"/>
    <w:basedOn w:val="Normal"/>
    <w:link w:val="HeaderChar"/>
    <w:uiPriority w:val="99"/>
    <w:semiHidden/>
    <w:unhideWhenUsed/>
    <w:rsid w:val="00C1193A"/>
    <w:pPr>
      <w:tabs>
        <w:tab w:val="center" w:pos="4680"/>
        <w:tab w:val="right" w:pos="9360"/>
      </w:tabs>
    </w:pPr>
  </w:style>
  <w:style w:type="character" w:customStyle="1" w:styleId="HeaderChar">
    <w:name w:val="Header Char"/>
    <w:basedOn w:val="DefaultParagraphFont"/>
    <w:link w:val="Header"/>
    <w:uiPriority w:val="99"/>
    <w:semiHidden/>
    <w:rsid w:val="00C1193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2016-05-06T09:32:00Z</dcterms:created>
  <dcterms:modified xsi:type="dcterms:W3CDTF">2016-05-06T09:33:00Z</dcterms:modified>
</cp:coreProperties>
</file>